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B04E673" w:rsidR="003A2C5A" w:rsidRPr="009523AD" w:rsidRDefault="00882FC1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MODELI KONTINUIRANOG MONITORINGA PORTFELJA I UNAPREĐENJA U ŽIVOTNIM OSIGURANJIMA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415C6453" w:rsidR="00DB312C" w:rsidRDefault="00882FC1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</w:t>
            </w:r>
            <w:r w:rsidR="005C556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5C556D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9902A03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1.       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Tržište životnih osiguranja</w:t>
            </w:r>
          </w:p>
          <w:p w14:paraId="6AA88DCD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struktura portfelja</w:t>
            </w:r>
          </w:p>
          <w:p w14:paraId="5F54F412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trendovi i pravci daljeg razvoja</w:t>
            </w:r>
          </w:p>
          <w:p w14:paraId="59244761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Životna osiguranja na nivou osiguravača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-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značaj i uloga funkcije monitoringa portfelja</w:t>
            </w:r>
          </w:p>
          <w:p w14:paraId="5FD34335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3.       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Specifičnosti monitoringa portfelja:</w:t>
            </w:r>
          </w:p>
          <w:p w14:paraId="46C62278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životna VS neživotna osiguranja</w:t>
            </w:r>
          </w:p>
          <w:p w14:paraId="3A2523BF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individualna VS kolektivna osiguranja</w:t>
            </w:r>
          </w:p>
          <w:p w14:paraId="3DD91B2C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       Koncept kontinuirane brige o klijentima sa posebnim osvrtom na prodajni aspekt</w:t>
            </w:r>
          </w:p>
          <w:p w14:paraId="4CF43715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5.       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Monitoring portfelja životnih osiguranja sa posebnim osvrtom na praktični aspekt:</w:t>
            </w:r>
          </w:p>
          <w:p w14:paraId="4FF20123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administriranje portfelja - procesi:</w:t>
            </w:r>
          </w:p>
          <w:p w14:paraId="122273C2" w14:textId="39232206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naplata premije</w:t>
            </w:r>
          </w:p>
          <w:p w14:paraId="4EBF9D5C" w14:textId="6EF728E3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opomene</w:t>
            </w:r>
          </w:p>
          <w:p w14:paraId="2804C1FE" w14:textId="62070A52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izjave o raskidu i kapitalizaciji</w:t>
            </w:r>
          </w:p>
          <w:p w14:paraId="5992F282" w14:textId="131CE90C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storniranje polisa</w:t>
            </w:r>
          </w:p>
          <w:p w14:paraId="756E38C5" w14:textId="6BD3EAB5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 xml:space="preserve">.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aneksiranje ugovora (priključenje/isključenje dopunskih osiguranja, promena korisnika, osigurane sume, premije, dinamike plaćanja i dr.)</w:t>
            </w:r>
          </w:p>
          <w:p w14:paraId="2084CBB7" w14:textId="7798A990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obaveza u toku trajanja ugovora o osiguranju:</w:t>
            </w:r>
          </w:p>
          <w:p w14:paraId="2187DF8F" w14:textId="2DA894AA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obaveštavanje o pripisanoj dobiti i obaveze prema čl. 83. i 84. Zakona o osiguranju</w:t>
            </w:r>
          </w:p>
          <w:p w14:paraId="74982DA3" w14:textId="739DD9B5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obnova/reaktiviranje ugovora</w:t>
            </w:r>
          </w:p>
          <w:p w14:paraId="0D1BCB5E" w14:textId="3B24D770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predujam</w:t>
            </w:r>
          </w:p>
          <w:p w14:paraId="7E558014" w14:textId="637999AA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ažuriranje podataka o klijentu</w:t>
            </w:r>
          </w:p>
          <w:p w14:paraId="311F828B" w14:textId="34B54EDE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raskidi ugovora (osiguranje korisnika kredita, u prvih mesec dana i dr.)</w:t>
            </w:r>
          </w:p>
          <w:p w14:paraId="20DFCAF7" w14:textId="61DB5848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evaluacije poslovnog odnosa sa stanovišta sprečavanja pranja novca i finansiranja terorizma</w:t>
            </w:r>
          </w:p>
          <w:p w14:paraId="447A2F9C" w14:textId="20A357E5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analiza i ocena rizika prema kategoriji stranke (visokorizični, srednjerizični i nisko rizični klijenti) – ključni indikatori</w:t>
            </w:r>
          </w:p>
          <w:p w14:paraId="1E815142" w14:textId="1B4C5B3F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analiza i ocena rizika na nivou kompanije</w:t>
            </w:r>
          </w:p>
          <w:p w14:paraId="621725CB" w14:textId="4C57634C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obaveza prema FATCA regulativi</w:t>
            </w:r>
          </w:p>
          <w:p w14:paraId="2D11CE44" w14:textId="0B3EE6D8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   Izveštavanje kao specifičan segment monitoringa portfelja (obaveze prema zakonskoj regulativi i internim aktima)</w:t>
            </w:r>
          </w:p>
          <w:p w14:paraId="1F22C14D" w14:textId="49A28FD8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   Uloga monitoringa portfelja životnih osiguranja u segmentu zaštite korisnika finansijskih usluga:</w:t>
            </w:r>
          </w:p>
          <w:p w14:paraId="135E5C1A" w14:textId="353970D0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prevencija prevarnih radnji  (kontinuirana komunikacija sa klijentom: Customer care call, obaveštenja, dopisi)</w:t>
            </w:r>
          </w:p>
          <w:p w14:paraId="25FFFC9B" w14:textId="43A9CD36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analiza prigovora i mere unapređenja procesa</w:t>
            </w:r>
          </w:p>
          <w:p w14:paraId="688A91C2" w14:textId="7E784D2C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sistem internih kontrola</w:t>
            </w:r>
          </w:p>
          <w:p w14:paraId="2706BC4F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       Upravljanje promenama - analiza trendova i kritičnih tačaka portfelja životnih osiguranja u funkciji:</w:t>
            </w:r>
          </w:p>
          <w:p w14:paraId="4872EDB4" w14:textId="67580F7B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razvoja novih proizvoda i unapređenja postojećih proizvoda</w:t>
            </w:r>
          </w:p>
          <w:p w14:paraId="7C15E568" w14:textId="73592A5B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unapređenja procesa i tehnologije rada</w:t>
            </w:r>
          </w:p>
          <w:p w14:paraId="69FE08B0" w14:textId="7A6558AA" w:rsidR="00063389" w:rsidRPr="00C83FC4" w:rsidRDefault="00BD10A8" w:rsidP="00C83FC4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digitalizacije i modernizacije životnih osiguranja.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693934E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82FC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Nada Grković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0F49D129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882FC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5C55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5C556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5A44A" w14:textId="77777777" w:rsidR="008E6626" w:rsidRDefault="008E6626">
      <w:r>
        <w:separator/>
      </w:r>
    </w:p>
  </w:endnote>
  <w:endnote w:type="continuationSeparator" w:id="0">
    <w:p w14:paraId="094C08A8" w14:textId="77777777" w:rsidR="008E6626" w:rsidRDefault="008E6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54405" w14:textId="77777777" w:rsidR="008E6626" w:rsidRDefault="008E6626">
      <w:r>
        <w:separator/>
      </w:r>
    </w:p>
  </w:footnote>
  <w:footnote w:type="continuationSeparator" w:id="0">
    <w:p w14:paraId="4728F382" w14:textId="77777777" w:rsidR="008E6626" w:rsidRDefault="008E66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81597799">
    <w:abstractNumId w:val="8"/>
  </w:num>
  <w:num w:numId="2" w16cid:durableId="172766694">
    <w:abstractNumId w:val="6"/>
  </w:num>
  <w:num w:numId="3" w16cid:durableId="1108744230">
    <w:abstractNumId w:val="7"/>
  </w:num>
  <w:num w:numId="4" w16cid:durableId="458652304">
    <w:abstractNumId w:val="13"/>
  </w:num>
  <w:num w:numId="5" w16cid:durableId="1338462953">
    <w:abstractNumId w:val="1"/>
  </w:num>
  <w:num w:numId="6" w16cid:durableId="2136633146">
    <w:abstractNumId w:val="3"/>
  </w:num>
  <w:num w:numId="7" w16cid:durableId="1631589909">
    <w:abstractNumId w:val="14"/>
  </w:num>
  <w:num w:numId="8" w16cid:durableId="2115785386">
    <w:abstractNumId w:val="12"/>
  </w:num>
  <w:num w:numId="9" w16cid:durableId="2088187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6646792">
    <w:abstractNumId w:val="10"/>
  </w:num>
  <w:num w:numId="11" w16cid:durableId="628436824">
    <w:abstractNumId w:val="5"/>
  </w:num>
  <w:num w:numId="12" w16cid:durableId="1382248884">
    <w:abstractNumId w:val="9"/>
  </w:num>
  <w:num w:numId="13" w16cid:durableId="1024794899">
    <w:abstractNumId w:val="2"/>
  </w:num>
  <w:num w:numId="14" w16cid:durableId="817694721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2527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17FE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3014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623D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0B8D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96FBF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3E72"/>
    <w:rsid w:val="005C4163"/>
    <w:rsid w:val="005C556D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3A8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0788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1E5E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2FC1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1448"/>
    <w:rsid w:val="008D57E1"/>
    <w:rsid w:val="008E0332"/>
    <w:rsid w:val="008E2F58"/>
    <w:rsid w:val="008E6157"/>
    <w:rsid w:val="008E6626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5A05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0A8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3FC4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5800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5C94"/>
    <w:rsid w:val="00F42EA8"/>
    <w:rsid w:val="00F43CFC"/>
    <w:rsid w:val="00F46687"/>
    <w:rsid w:val="00F469B7"/>
    <w:rsid w:val="00F511CA"/>
    <w:rsid w:val="00F51377"/>
    <w:rsid w:val="00F54E9B"/>
    <w:rsid w:val="00F55099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8B790-662F-4FB7-B8F9-C80E9A5B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3547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3</cp:revision>
  <cp:lastPrinted>2015-12-22T11:13:00Z</cp:lastPrinted>
  <dcterms:created xsi:type="dcterms:W3CDTF">2026-02-11T10:54:00Z</dcterms:created>
  <dcterms:modified xsi:type="dcterms:W3CDTF">2026-05-28T06:21:00Z</dcterms:modified>
</cp:coreProperties>
</file>